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22222"/>
          <w:sz w:val="20"/>
          <w:szCs w:val="20"/>
        </w:rPr>
      </w:pPr>
      <w:r w:rsidDel="00000000" w:rsidR="00000000" w:rsidRPr="00000000">
        <w:rPr>
          <w:b w:val="1"/>
          <w:color w:val="222222"/>
          <w:sz w:val="20"/>
          <w:szCs w:val="20"/>
          <w:rtl w:val="0"/>
        </w:rPr>
        <w:t xml:space="preserve">Double Entry Journal</w:t>
      </w:r>
    </w:p>
    <w:p w:rsidR="00000000" w:rsidDel="00000000" w:rsidP="00000000" w:rsidRDefault="00000000" w:rsidRPr="00000000" w14:paraId="00000002">
      <w:pPr>
        <w:jc w:val="center"/>
        <w:rPr>
          <w:b w:val="1"/>
          <w:color w:val="222222"/>
          <w:sz w:val="20"/>
          <w:szCs w:val="20"/>
        </w:rPr>
      </w:pPr>
      <w:r w:rsidDel="00000000" w:rsidR="00000000" w:rsidRPr="00000000">
        <w:rPr>
          <w:rtl w:val="0"/>
        </w:rPr>
      </w:r>
    </w:p>
    <w:p w:rsidR="00000000" w:rsidDel="00000000" w:rsidP="00000000" w:rsidRDefault="00000000" w:rsidRPr="00000000" w14:paraId="00000003">
      <w:pPr>
        <w:rPr>
          <w:color w:val="222222"/>
          <w:sz w:val="20"/>
          <w:szCs w:val="20"/>
        </w:rPr>
      </w:pPr>
      <w:r w:rsidDel="00000000" w:rsidR="00000000" w:rsidRPr="00000000">
        <w:rPr>
          <w:b w:val="1"/>
          <w:color w:val="222222"/>
          <w:sz w:val="20"/>
          <w:szCs w:val="20"/>
          <w:rtl w:val="0"/>
        </w:rPr>
        <w:t xml:space="preserve">What is a double entry journal? </w:t>
      </w:r>
      <w:r w:rsidDel="00000000" w:rsidR="00000000" w:rsidRPr="00000000">
        <w:rPr>
          <w:color w:val="222222"/>
          <w:sz w:val="20"/>
          <w:szCs w:val="20"/>
          <w:rtl w:val="0"/>
        </w:rPr>
        <w:t xml:space="preserve">A double entry journal is a way for you to take note of important passages within  a text. If done correctly, the table will be organized and will span the entire reading selection. </w:t>
      </w:r>
    </w:p>
    <w:p w:rsidR="00000000" w:rsidDel="00000000" w:rsidP="00000000" w:rsidRDefault="00000000" w:rsidRPr="00000000" w14:paraId="00000004">
      <w:pPr>
        <w:rPr>
          <w:color w:val="222222"/>
          <w:sz w:val="20"/>
          <w:szCs w:val="20"/>
        </w:rPr>
      </w:pPr>
      <w:r w:rsidDel="00000000" w:rsidR="00000000" w:rsidRPr="00000000">
        <w:rPr>
          <w:rtl w:val="0"/>
        </w:rPr>
      </w:r>
    </w:p>
    <w:p w:rsidR="00000000" w:rsidDel="00000000" w:rsidP="00000000" w:rsidRDefault="00000000" w:rsidRPr="00000000" w14:paraId="00000005">
      <w:pPr>
        <w:rPr>
          <w:color w:val="222222"/>
          <w:sz w:val="20"/>
          <w:szCs w:val="20"/>
        </w:rPr>
      </w:pPr>
      <w:r w:rsidDel="00000000" w:rsidR="00000000" w:rsidRPr="00000000">
        <w:rPr>
          <w:b w:val="1"/>
          <w:color w:val="222222"/>
          <w:sz w:val="20"/>
          <w:szCs w:val="20"/>
          <w:rtl w:val="0"/>
        </w:rPr>
        <w:t xml:space="preserve">How to create a double entry journal?</w:t>
      </w:r>
      <w:r w:rsidDel="00000000" w:rsidR="00000000" w:rsidRPr="00000000">
        <w:rPr>
          <w:color w:val="222222"/>
          <w:sz w:val="20"/>
          <w:szCs w:val="20"/>
          <w:rtl w:val="0"/>
        </w:rPr>
        <w:t xml:space="preserve"> First, create a document in Google docs, naming it Double Entry Journal - Your name - text name. In the document, insert a table that has 3 columns. Name the columns as shown below. I usually make the Page # column much smaller than the other two columns.</w:t>
      </w:r>
    </w:p>
    <w:p w:rsidR="00000000" w:rsidDel="00000000" w:rsidP="00000000" w:rsidRDefault="00000000" w:rsidRPr="00000000" w14:paraId="00000006">
      <w:pPr>
        <w:rPr>
          <w:color w:val="222222"/>
          <w:sz w:val="20"/>
          <w:szCs w:val="20"/>
        </w:rPr>
      </w:pPr>
      <w:r w:rsidDel="00000000" w:rsidR="00000000" w:rsidRPr="00000000">
        <w:rPr>
          <w:rtl w:val="0"/>
        </w:rPr>
      </w:r>
    </w:p>
    <w:p w:rsidR="00000000" w:rsidDel="00000000" w:rsidP="00000000" w:rsidRDefault="00000000" w:rsidRPr="00000000" w14:paraId="00000007">
      <w:pPr>
        <w:rPr>
          <w:color w:val="222222"/>
          <w:sz w:val="20"/>
          <w:szCs w:val="20"/>
        </w:rPr>
      </w:pPr>
      <w:r w:rsidDel="00000000" w:rsidR="00000000" w:rsidRPr="00000000">
        <w:rPr>
          <w:color w:val="222222"/>
          <w:sz w:val="20"/>
          <w:szCs w:val="20"/>
          <w:rtl w:val="0"/>
        </w:rPr>
        <w:t xml:space="preserve">You will then simply type the information in the correct boxes. Make sure that you include the entire quotation and that your interpretation </w:t>
      </w:r>
      <w:r w:rsidDel="00000000" w:rsidR="00000000" w:rsidRPr="00000000">
        <w:rPr>
          <w:color w:val="222222"/>
          <w:sz w:val="20"/>
          <w:szCs w:val="20"/>
          <w:u w:val="single"/>
          <w:rtl w:val="0"/>
        </w:rPr>
        <w:t xml:space="preserve">is an analysis of the importance or significance of the quotation.</w:t>
      </w:r>
      <w:r w:rsidDel="00000000" w:rsidR="00000000" w:rsidRPr="00000000">
        <w:rPr>
          <w:color w:val="222222"/>
          <w:sz w:val="20"/>
          <w:szCs w:val="20"/>
          <w:rtl w:val="0"/>
        </w:rPr>
        <w:t xml:space="preserve"> Your interpretation should answer the questions “So what?” or What does the quotation imply?”.</w:t>
      </w:r>
    </w:p>
    <w:p w:rsidR="00000000" w:rsidDel="00000000" w:rsidP="00000000" w:rsidRDefault="00000000" w:rsidRPr="00000000" w14:paraId="00000008">
      <w:pPr>
        <w:rPr>
          <w:color w:val="222222"/>
          <w:sz w:val="20"/>
          <w:szCs w:val="20"/>
        </w:rPr>
      </w:pPr>
      <w:r w:rsidDel="00000000" w:rsidR="00000000" w:rsidRPr="00000000">
        <w:rPr>
          <w:rtl w:val="0"/>
        </w:rPr>
      </w:r>
    </w:p>
    <w:p w:rsidR="00000000" w:rsidDel="00000000" w:rsidP="00000000" w:rsidRDefault="00000000" w:rsidRPr="00000000" w14:paraId="00000009">
      <w:pPr>
        <w:rPr>
          <w:color w:val="222222"/>
          <w:sz w:val="20"/>
          <w:szCs w:val="20"/>
        </w:rPr>
      </w:pPr>
      <w:r w:rsidDel="00000000" w:rsidR="00000000" w:rsidRPr="00000000">
        <w:rPr>
          <w:color w:val="222222"/>
          <w:sz w:val="20"/>
          <w:szCs w:val="20"/>
          <w:rtl w:val="0"/>
        </w:rPr>
        <w:t xml:space="preserve">For each new quotation, page number, and interpretation, press tab to get to the next line.</w:t>
      </w:r>
    </w:p>
    <w:p w:rsidR="00000000" w:rsidDel="00000000" w:rsidP="00000000" w:rsidRDefault="00000000" w:rsidRPr="00000000" w14:paraId="0000000A">
      <w:pPr>
        <w:rPr>
          <w:color w:val="222222"/>
          <w:sz w:val="20"/>
          <w:szCs w:val="20"/>
        </w:rPr>
      </w:pPr>
      <w:r w:rsidDel="00000000" w:rsidR="00000000" w:rsidRPr="00000000">
        <w:rPr>
          <w:rtl w:val="0"/>
        </w:rPr>
      </w:r>
    </w:p>
    <w:p w:rsidR="00000000" w:rsidDel="00000000" w:rsidP="00000000" w:rsidRDefault="00000000" w:rsidRPr="00000000" w14:paraId="0000000B">
      <w:pPr>
        <w:rPr>
          <w:b w:val="1"/>
          <w:color w:val="222222"/>
          <w:sz w:val="20"/>
          <w:szCs w:val="20"/>
          <w:u w:val="single"/>
        </w:rPr>
      </w:pPr>
      <w:r w:rsidDel="00000000" w:rsidR="00000000" w:rsidRPr="00000000">
        <w:rPr>
          <w:color w:val="222222"/>
          <w:sz w:val="20"/>
          <w:szCs w:val="20"/>
          <w:rtl w:val="0"/>
        </w:rPr>
        <w:t xml:space="preserve">Here is an example of a quality double entry journal explanation. </w:t>
      </w:r>
      <w:r w:rsidDel="00000000" w:rsidR="00000000" w:rsidRPr="00000000">
        <w:rPr>
          <w:b w:val="1"/>
          <w:color w:val="222222"/>
          <w:sz w:val="20"/>
          <w:szCs w:val="20"/>
          <w:u w:val="single"/>
          <w:rtl w:val="0"/>
        </w:rPr>
        <w:t xml:space="preserve">Make sure that you complete at least ten quotations and interpretations.  </w:t>
      </w:r>
    </w:p>
    <w:p w:rsidR="00000000" w:rsidDel="00000000" w:rsidP="00000000" w:rsidRDefault="00000000" w:rsidRPr="00000000" w14:paraId="0000000C">
      <w:pPr>
        <w:rPr>
          <w:color w:val="222222"/>
          <w:sz w:val="20"/>
          <w:szCs w:val="2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4935"/>
        <w:gridCol w:w="3120"/>
        <w:tblGridChange w:id="0">
          <w:tblGrid>
            <w:gridCol w:w="1305"/>
            <w:gridCol w:w="4935"/>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Quotation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Interpretation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“It was the best of times, it was the worst of times, it was the age of wisdom ,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 -- in short, the period was so far like the present period, that some of its noisiest authorities insisted on its being received, for good or for evil, in the superlative degree of comparison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The opening statement presents the motif of duality with the use of antitheses (statements that contradict each other).  Clearly, Dickens sets up the conflicts within the novel, hinting at behavior, redemption, and violence by using words such as “despair,” “Heaven,” “good or evil,” and “worst.”.  The statement also directly references the title (two cities).</w:t>
            </w:r>
          </w:p>
        </w:tc>
      </w:tr>
    </w:tbl>
    <w:p w:rsidR="00000000" w:rsidDel="00000000" w:rsidP="00000000" w:rsidRDefault="00000000" w:rsidRPr="00000000" w14:paraId="00000014">
      <w:pPr>
        <w:rPr>
          <w:color w:val="222222"/>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